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9" w:afterLines="100" w:line="560" w:lineRule="exact"/>
        <w:jc w:val="center"/>
        <w:textAlignment w:val="auto"/>
        <w:rPr>
          <w:rStyle w:val="8"/>
          <w:rFonts w:hint="eastAsia" w:ascii="方正小标宋简体" w:hAnsi="方正小标宋简体" w:eastAsia="方正小标宋简体" w:cs="方正小标宋简体"/>
          <w:bCs/>
          <w:color w:val="auto"/>
          <w:w w:val="100"/>
          <w:sz w:val="44"/>
          <w:szCs w:val="44"/>
          <w:u w:val="none"/>
        </w:rPr>
      </w:pPr>
      <w:r>
        <w:rPr>
          <w:rStyle w:val="8"/>
          <w:rFonts w:hint="eastAsia" w:ascii="方正小标宋简体" w:hAnsi="方正小标宋简体" w:eastAsia="方正小标宋简体" w:cs="方正小标宋简体"/>
          <w:bCs/>
          <w:color w:val="auto"/>
          <w:w w:val="100"/>
          <w:sz w:val="44"/>
          <w:szCs w:val="44"/>
          <w:u w:val="none"/>
        </w:rPr>
        <w:t>樟树市城市管理局 2019年度政府信息公开工作年度总结</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樟树市城管局办公室结合有关统计数据编制。本年度报告中所列数据的统计期限自2019年1月1日起至2019年12月31日止。全文包括总体情况、主动公开政府信息情况、收到和处理政府信息公开申请情况、政府信息公开行政复议行政诉讼情况、存在的主要问题及改进情况、其他需要报告的事项。本年度报告的电子版可以从樟树市人民政府网站城管局下载。如对本报告有任何疑问，请与樟树市城管局办公室联系（地址：樟树市杏佛路63号图书馆五楼，电话：0795-7364656，邮编：331200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一、总体情况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局认真贯彻落实《条例》要求，把推进政府信息公开与转变政府职能、规范权力运行、促进依法行政紧密结合起来，不断完善政务公开和政府信息公开工作，认真执行信息审核发布制度和主动公开及依申请公开办事程序，加大信息公开力度，及时回应公众关切，切实保障人民群众的知情权、参与权和监督权。我局政府信息公开工作运行正常，政府信息公开咨询、申请以及答复工作均得到了顺利的发展。在市委市政府的精心指导下，我局主动公开政府信息，自觉接受群众监督，使权力在阳光下运行，转变观念，扎实工作，开拓创新，有力推进政府信息公开工作新的发展，基本满足了社会对城市管理工作公开的需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（一）主动公开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推进“放管服”改革信息公开。全面推进权责清单公开，公开梳理后的城市管理权责事项共177项，其中：行政许可16项、行政处罚136项、行政强制6项、行政确认1项、行政征收14项（其中有些收费项目已经停止收费，在公开时已做说明）、其他行政权力4项，每项权力详细载明法律依据、权力类型，并通过“江西政务服务网樟树分厅”门户网站向社会公开,切实做到“行政权力进清单，清单外无权力”。同时城管局窗口实行预约服务，已向社会公布预约电话，方便办事群众在非工作日办理业务。2019年，我局共办理行政审批事项396件。二是推进垃圾分类政策宣传。以“六进”活动为载体，将垃圾分类工作引向各行业、各领域，实现全覆盖，共发放垃圾分类宣传手册和《宜春市生活垃圾分类管理条例》16万余份。联合社区、学校、机关、企业等多个载体，并采用多种形式进行宣传，使垃圾分类与市民日常生活结合起来，让垃圾分类宣传入脑入心。三是强化信访事项处置工作。充分利用12345服务热线、江西省网上信访系统、樟树政务信息公开、信访局、市委市政府领导签批信访件等平台，收集并依法回复各类信访事项，全面提高各类投诉、举报、咨询等的受理率、处置率及满意率。2019年，我局共收到信访件1050件，办结率达100%，满意率达100%。四是整治餐饮油烟。我局摸排全市餐饮单位具体信息建立全市餐饮单位台账；根据台账信息对全市404家餐饮单位下达整改通知书，并督促餐饮单位尽快安装油烟净化器。截至目前全市404家餐饮单位中已有377家进行整改，还有27家餐饮单位未进行整改，整改完成率为93.31％。五是规范行政处罚。行政执法部门</w:t>
      </w:r>
      <w:r>
        <w:rPr>
          <w:rFonts w:hint="eastAsia" w:ascii="仿宋_GB2312" w:hAnsi="仿宋_GB2312" w:eastAsia="仿宋_GB2312" w:cs="仿宋_GB2312"/>
          <w:sz w:val="32"/>
          <w:szCs w:val="32"/>
          <w:lang w:val="en-US" w:eastAsia="zh-CN"/>
        </w:rPr>
        <w:t>进行</w:t>
      </w:r>
      <w:bookmarkStart w:id="0" w:name="_GoBack"/>
      <w:bookmarkEnd w:id="0"/>
      <w:r>
        <w:rPr>
          <w:rFonts w:hint="eastAsia" w:ascii="仿宋_GB2312" w:hAnsi="仿宋_GB2312" w:eastAsia="仿宋_GB2312" w:cs="仿宋_GB2312"/>
          <w:sz w:val="32"/>
          <w:szCs w:val="32"/>
        </w:rPr>
        <w:t>行政处罚时，严格按照相关法律法规执行，做到事实清楚、证据确实充分、程序到位、适用法律正确、法律文书规范。2019年，我局城管大队共处理行政处罚案件9件，环境卫生管理处共进行余土运输车辆处罚37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（二）依申请公开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2019年，樟树市城管局未收到依申请公开。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（三）政府信息管理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严密做好信息公开保密审查工作，严格履行信息公开保密审查程序，严禁将国家秘密、工作秘密、商业秘密上传。目前我局已完善信息发布机制，对上传的信息进行定期清查，已发布的信息中不存在涉密、泄密和违法违规现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（四）平台建设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主要通过四种渠道公开政府信息，自觉接受社会的监督。一是通过政府信息公开网站，主动公开我局城市管理工作动态和办事指南等。二是通过本单位微信公众账号樟树微城管及时发布工作动态。三是利用公共媒体、发放宣传册等载体宣传城市管理政策法规。四是通过公开举报投诉电话或邮箱留言形式，及时受理群众的咨询和投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（五）监督保障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明确人员，调整充实政务公开工作领导小组，由局长任组长、各副局长任副组长，局属各单位、机关各股室负责人为成员的政务公开工作领导小组，明确专人负责，各单位配合。二是加强调度，根据上级工作部署要求和日常工作中存在的问题，明确整改要求和期限，积极保持与信息中心的沟通联系，提高工作水平，强化工作措施，确保政务公开工作顺利开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5"/>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2860"/>
        <w:gridCol w:w="2020"/>
        <w:gridCol w:w="2020"/>
        <w:gridCol w:w="202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c>
          <w:tcPr>
            <w:tcW w:w="0" w:type="auto"/>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第二十条第（一）项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本年新制作数量</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本年新公开数量</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对外公开总数量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    章</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规范性文件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第二十条第（五）项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上一年项目数量</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本年增/减</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行政许可</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396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其他对外管理服务事项</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第二十条第（六）项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上一年项目数量</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本年增/减</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行政处罚</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136</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行政强制</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第二十条第（八）项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上一年项目数量</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本年增/减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行政事业性收费</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第二十条第（九）项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采购项目数量</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采购总金额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政府集中采购</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105" w:afterAutospacing="0" w:line="23" w:lineRule="atLeas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1367.36万元</w:t>
            </w:r>
          </w:p>
        </w:tc>
      </w:tr>
    </w:tbl>
    <w:p>
      <w:pPr>
        <w:pStyle w:val="4"/>
        <w:keepNext w:val="0"/>
        <w:keepLines w:val="0"/>
        <w:widowControl/>
        <w:suppressLineNumbers w:val="0"/>
        <w:spacing w:before="0" w:beforeAutospacing="0" w:after="105" w:afterAutospacing="0" w:line="23" w:lineRule="atLeast"/>
        <w:ind w:left="0" w:firstLine="420"/>
        <w:jc w:val="both"/>
        <w:rPr>
          <w:rFonts w:hint="eastAsia" w:ascii="微软雅黑" w:hAnsi="微软雅黑" w:eastAsia="微软雅黑" w:cs="微软雅黑"/>
          <w:sz w:val="28"/>
          <w:szCs w:val="28"/>
        </w:rPr>
      </w:pPr>
      <w:r>
        <w:rPr>
          <w:rStyle w:val="7"/>
          <w:rFonts w:hint="eastAsia" w:ascii="微软雅黑" w:hAnsi="微软雅黑" w:eastAsia="微软雅黑" w:cs="微软雅黑"/>
          <w:sz w:val="28"/>
          <w:szCs w:val="28"/>
        </w:rPr>
        <w:t> </w:t>
      </w:r>
    </w:p>
    <w:p>
      <w:pPr>
        <w:pStyle w:val="4"/>
        <w:keepNext w:val="0"/>
        <w:keepLines w:val="0"/>
        <w:widowControl/>
        <w:suppressLineNumbers w:val="0"/>
        <w:spacing w:before="0" w:beforeAutospacing="0" w:after="105" w:afterAutospacing="0" w:line="23" w:lineRule="atLeast"/>
        <w:ind w:left="0" w:firstLine="420"/>
        <w:jc w:val="both"/>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5"/>
        <w:tblW w:w="0" w:type="auto"/>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13"/>
        <w:gridCol w:w="850"/>
        <w:gridCol w:w="2059"/>
        <w:gridCol w:w="805"/>
        <w:gridCol w:w="747"/>
        <w:gridCol w:w="747"/>
        <w:gridCol w:w="805"/>
        <w:gridCol w:w="961"/>
        <w:gridCol w:w="704"/>
        <w:gridCol w:w="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552"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（本列数据的勾稽关系为：第一项加第二项之和，等于第三项加第四项之和）</w:t>
            </w:r>
          </w:p>
        </w:tc>
        <w:tc>
          <w:tcPr>
            <w:tcW w:w="5534" w:type="dxa"/>
            <w:gridSpan w:val="7"/>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1" w:hRule="atLeast"/>
        </w:trPr>
        <w:tc>
          <w:tcPr>
            <w:tcW w:w="3552"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814"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自然人</w:t>
            </w:r>
          </w:p>
        </w:tc>
        <w:tc>
          <w:tcPr>
            <w:tcW w:w="4009" w:type="dxa"/>
            <w:gridSpan w:val="5"/>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法人或其他组织</w:t>
            </w:r>
          </w:p>
        </w:tc>
        <w:tc>
          <w:tcPr>
            <w:tcW w:w="71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552"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814" w:type="dxa"/>
            <w:vMerge w:val="continue"/>
            <w:tcBorders>
              <w:top w:val="nil"/>
              <w:left w:val="nil"/>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商业企业</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科研机构</w:t>
            </w:r>
          </w:p>
        </w:tc>
        <w:tc>
          <w:tcPr>
            <w:tcW w:w="81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社会公益组织</w:t>
            </w:r>
          </w:p>
        </w:tc>
        <w:tc>
          <w:tcPr>
            <w:tcW w:w="97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法律服务机构</w:t>
            </w:r>
          </w:p>
        </w:tc>
        <w:tc>
          <w:tcPr>
            <w:tcW w:w="7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其他</w:t>
            </w:r>
          </w:p>
        </w:tc>
        <w:tc>
          <w:tcPr>
            <w:tcW w:w="71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552"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一、本年新收政府信息公开申请数量</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7" w:hRule="atLeast"/>
        </w:trPr>
        <w:tc>
          <w:tcPr>
            <w:tcW w:w="3552"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二、上年结转政府信息公开申请数量</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三、本年度办理结果</w:t>
            </w:r>
          </w:p>
        </w:tc>
        <w:tc>
          <w:tcPr>
            <w:tcW w:w="293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（一）予以公开</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293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（二）部分公开（区分处理的，只计这一情形，不计其他情形）</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85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（三）不予公开</w:t>
            </w:r>
          </w:p>
        </w:tc>
        <w:tc>
          <w:tcPr>
            <w:tcW w:w="20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1.属于国家秘密</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852" w:type="dxa"/>
            <w:vMerge w:val="continue"/>
            <w:tcBorders>
              <w:top w:val="nil"/>
              <w:left w:val="nil"/>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20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2.其他法律行政法规禁止公开</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852" w:type="dxa"/>
            <w:vMerge w:val="continue"/>
            <w:tcBorders>
              <w:top w:val="nil"/>
              <w:left w:val="nil"/>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20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3.危及“三安全一稳定”</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852" w:type="dxa"/>
            <w:vMerge w:val="continue"/>
            <w:tcBorders>
              <w:top w:val="nil"/>
              <w:left w:val="nil"/>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20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4.保护第三方合法权益</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852" w:type="dxa"/>
            <w:vMerge w:val="continue"/>
            <w:tcBorders>
              <w:top w:val="nil"/>
              <w:left w:val="nil"/>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20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5.属于三类内部事务信息</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852" w:type="dxa"/>
            <w:vMerge w:val="continue"/>
            <w:tcBorders>
              <w:top w:val="nil"/>
              <w:left w:val="nil"/>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20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6.属于四类过程性信息</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852" w:type="dxa"/>
            <w:vMerge w:val="continue"/>
            <w:tcBorders>
              <w:top w:val="nil"/>
              <w:left w:val="nil"/>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20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7.属于行政执法案卷</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852" w:type="dxa"/>
            <w:vMerge w:val="continue"/>
            <w:tcBorders>
              <w:top w:val="nil"/>
              <w:left w:val="nil"/>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20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8.属于行政查询事项</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85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（四）无法提供</w:t>
            </w:r>
          </w:p>
        </w:tc>
        <w:tc>
          <w:tcPr>
            <w:tcW w:w="20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1.本机关不掌握相关政府信息</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852" w:type="dxa"/>
            <w:vMerge w:val="continue"/>
            <w:tcBorders>
              <w:top w:val="nil"/>
              <w:left w:val="nil"/>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20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2.没有现成信息需要另行制作</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852" w:type="dxa"/>
            <w:vMerge w:val="continue"/>
            <w:tcBorders>
              <w:top w:val="nil"/>
              <w:left w:val="nil"/>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20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3.补正后申请内容仍不明确</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85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（五）不予处理</w:t>
            </w:r>
          </w:p>
        </w:tc>
        <w:tc>
          <w:tcPr>
            <w:tcW w:w="20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1.信访举报投诉类申请</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852" w:type="dxa"/>
            <w:vMerge w:val="continue"/>
            <w:tcBorders>
              <w:top w:val="nil"/>
              <w:left w:val="nil"/>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20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2.重复申请</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852" w:type="dxa"/>
            <w:vMerge w:val="continue"/>
            <w:tcBorders>
              <w:top w:val="nil"/>
              <w:left w:val="nil"/>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20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3.要求提供公开出版物</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852" w:type="dxa"/>
            <w:vMerge w:val="continue"/>
            <w:tcBorders>
              <w:top w:val="nil"/>
              <w:left w:val="nil"/>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20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4.无正当理由大量反复申请</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852" w:type="dxa"/>
            <w:vMerge w:val="continue"/>
            <w:tcBorders>
              <w:top w:val="nil"/>
              <w:left w:val="nil"/>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20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5.要求行政机关确认或重新出具已获取信息</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293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（六）其他处理</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hint="eastAsia" w:ascii="仿宋_GB2312" w:hAnsi="仿宋_GB2312" w:eastAsia="仿宋_GB2312" w:cs="仿宋_GB2312"/>
                <w:sz w:val="24"/>
                <w:szCs w:val="24"/>
              </w:rPr>
            </w:pPr>
          </w:p>
        </w:tc>
        <w:tc>
          <w:tcPr>
            <w:tcW w:w="293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（七）总计</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552"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四、结转下年度继续办理</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81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9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71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bl>
    <w:p>
      <w:pPr>
        <w:keepNext w:val="0"/>
        <w:keepLines w:val="0"/>
        <w:widowControl/>
        <w:suppressLineNumbers w:val="0"/>
        <w:jc w:val="center"/>
      </w:pPr>
      <w:r>
        <w:rPr>
          <w:rFonts w:ascii="宋体" w:hAnsi="宋体" w:eastAsia="宋体" w:cs="宋体"/>
          <w:kern w:val="0"/>
          <w:sz w:val="18"/>
          <w:szCs w:val="18"/>
          <w:lang w:val="en-US" w:eastAsia="zh-CN" w:bidi="ar"/>
        </w:rPr>
        <w:t> </w:t>
      </w:r>
    </w:p>
    <w:p>
      <w:pPr>
        <w:pStyle w:val="4"/>
        <w:keepNext w:val="0"/>
        <w:keepLines w:val="0"/>
        <w:widowControl/>
        <w:suppressLineNumbers w:val="0"/>
        <w:spacing w:before="0" w:beforeAutospacing="0" w:after="105" w:afterAutospacing="0" w:line="23" w:lineRule="atLeast"/>
        <w:ind w:left="0" w:firstLine="420"/>
        <w:jc w:val="both"/>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5"/>
        <w:tblW w:w="0" w:type="auto"/>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98"/>
        <w:gridCol w:w="598"/>
        <w:gridCol w:w="598"/>
        <w:gridCol w:w="598"/>
        <w:gridCol w:w="655"/>
        <w:gridCol w:w="545"/>
        <w:gridCol w:w="600"/>
        <w:gridCol w:w="600"/>
        <w:gridCol w:w="600"/>
        <w:gridCol w:w="600"/>
        <w:gridCol w:w="600"/>
        <w:gridCol w:w="600"/>
        <w:gridCol w:w="600"/>
        <w:gridCol w:w="600"/>
        <w:gridCol w:w="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73"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行政复议</w:t>
            </w:r>
          </w:p>
        </w:tc>
        <w:tc>
          <w:tcPr>
            <w:tcW w:w="5996" w:type="dxa"/>
            <w:gridSpan w:val="10"/>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结果维持</w:t>
            </w:r>
          </w:p>
        </w:tc>
        <w:tc>
          <w:tcPr>
            <w:tcW w:w="60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结果纠正</w:t>
            </w:r>
          </w:p>
        </w:tc>
        <w:tc>
          <w:tcPr>
            <w:tcW w:w="60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其他结果</w:t>
            </w:r>
          </w:p>
        </w:tc>
        <w:tc>
          <w:tcPr>
            <w:tcW w:w="60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尚未审结</w:t>
            </w:r>
          </w:p>
        </w:tc>
        <w:tc>
          <w:tcPr>
            <w:tcW w:w="65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总计</w:t>
            </w:r>
          </w:p>
        </w:tc>
        <w:tc>
          <w:tcPr>
            <w:tcW w:w="2969" w:type="dxa"/>
            <w:gridSpan w:val="5"/>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未经复议直接起诉</w:t>
            </w:r>
          </w:p>
        </w:tc>
        <w:tc>
          <w:tcPr>
            <w:tcW w:w="3027" w:type="dxa"/>
            <w:gridSpan w:val="5"/>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3" w:type="dxa"/>
            <w:vMerge w:val="continue"/>
            <w:tcBorders>
              <w:top w:val="nil"/>
              <w:left w:val="single" w:color="000000" w:sz="8" w:space="0"/>
              <w:bottom w:val="single" w:color="000000" w:sz="8" w:space="0"/>
              <w:right w:val="single" w:color="000000" w:sz="8" w:space="0"/>
            </w:tcBorders>
            <w:shd w:val="clear" w:color="auto" w:fill="auto"/>
            <w:vAlign w:val="center"/>
          </w:tcPr>
          <w:p>
            <w:pPr>
              <w:rPr>
                <w:rFonts w:hint="eastAsia" w:ascii="宋体"/>
                <w:sz w:val="24"/>
                <w:szCs w:val="24"/>
              </w:rPr>
            </w:pPr>
          </w:p>
        </w:tc>
        <w:tc>
          <w:tcPr>
            <w:tcW w:w="603" w:type="dxa"/>
            <w:vMerge w:val="continue"/>
            <w:tcBorders>
              <w:top w:val="nil"/>
              <w:left w:val="nil"/>
              <w:bottom w:val="single" w:color="000000" w:sz="8" w:space="0"/>
              <w:right w:val="single" w:color="000000" w:sz="8" w:space="0"/>
            </w:tcBorders>
            <w:shd w:val="clear" w:color="auto" w:fill="auto"/>
            <w:vAlign w:val="center"/>
          </w:tcPr>
          <w:p>
            <w:pPr>
              <w:rPr>
                <w:rFonts w:hint="eastAsia" w:ascii="宋体"/>
                <w:sz w:val="24"/>
                <w:szCs w:val="24"/>
              </w:rPr>
            </w:pPr>
          </w:p>
        </w:tc>
        <w:tc>
          <w:tcPr>
            <w:tcW w:w="603" w:type="dxa"/>
            <w:vMerge w:val="continue"/>
            <w:tcBorders>
              <w:top w:val="single" w:color="000000" w:sz="8" w:space="0"/>
              <w:left w:val="nil"/>
              <w:bottom w:val="single" w:color="000000" w:sz="8" w:space="0"/>
              <w:right w:val="single" w:color="000000" w:sz="8" w:space="0"/>
            </w:tcBorders>
            <w:shd w:val="clear" w:color="auto" w:fill="auto"/>
            <w:vAlign w:val="center"/>
          </w:tcPr>
          <w:p>
            <w:pPr>
              <w:rPr>
                <w:rFonts w:hint="eastAsia" w:ascii="宋体"/>
                <w:sz w:val="24"/>
                <w:szCs w:val="24"/>
              </w:rPr>
            </w:pPr>
          </w:p>
        </w:tc>
        <w:tc>
          <w:tcPr>
            <w:tcW w:w="603" w:type="dxa"/>
            <w:vMerge w:val="continue"/>
            <w:tcBorders>
              <w:top w:val="single" w:color="000000" w:sz="8" w:space="0"/>
              <w:left w:val="nil"/>
              <w:bottom w:val="single" w:color="000000" w:sz="8" w:space="0"/>
              <w:right w:val="single" w:color="000000" w:sz="8" w:space="0"/>
            </w:tcBorders>
            <w:shd w:val="clear" w:color="auto" w:fill="auto"/>
            <w:vAlign w:val="center"/>
          </w:tcPr>
          <w:p>
            <w:pPr>
              <w:rPr>
                <w:rFonts w:hint="eastAsia" w:ascii="宋体"/>
                <w:sz w:val="24"/>
                <w:szCs w:val="24"/>
              </w:rPr>
            </w:pPr>
          </w:p>
        </w:tc>
        <w:tc>
          <w:tcPr>
            <w:tcW w:w="657" w:type="dxa"/>
            <w:vMerge w:val="continue"/>
            <w:tcBorders>
              <w:top w:val="single" w:color="000000" w:sz="8" w:space="0"/>
              <w:left w:val="nil"/>
              <w:bottom w:val="single" w:color="000000" w:sz="8" w:space="0"/>
              <w:right w:val="single" w:color="000000" w:sz="8" w:space="0"/>
            </w:tcBorders>
            <w:shd w:val="clear" w:color="auto" w:fill="auto"/>
            <w:vAlign w:val="center"/>
          </w:tcPr>
          <w:p>
            <w:pPr>
              <w:rPr>
                <w:rFonts w:hint="eastAsia" w:ascii="宋体"/>
                <w:sz w:val="24"/>
                <w:szCs w:val="24"/>
              </w:rPr>
            </w:pPr>
          </w:p>
        </w:tc>
        <w:tc>
          <w:tcPr>
            <w:tcW w:w="54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结果维持</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结果纠正</w:t>
            </w:r>
          </w:p>
        </w:tc>
        <w:tc>
          <w:tcPr>
            <w:tcW w:w="6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其他结果</w:t>
            </w:r>
          </w:p>
        </w:tc>
        <w:tc>
          <w:tcPr>
            <w:tcW w:w="6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尚未审结</w:t>
            </w:r>
          </w:p>
        </w:tc>
        <w:tc>
          <w:tcPr>
            <w:tcW w:w="6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1"/>
                <w:szCs w:val="21"/>
                <w:lang w:val="en-US" w:eastAsia="zh-CN" w:bidi="ar"/>
              </w:rPr>
              <w:t>总计</w:t>
            </w:r>
          </w:p>
        </w:tc>
        <w:tc>
          <w:tcPr>
            <w:tcW w:w="6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结果维持</w:t>
            </w:r>
          </w:p>
        </w:tc>
        <w:tc>
          <w:tcPr>
            <w:tcW w:w="6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结果纠正</w:t>
            </w:r>
          </w:p>
        </w:tc>
        <w:tc>
          <w:tcPr>
            <w:tcW w:w="6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1"/>
                <w:szCs w:val="21"/>
                <w:lang w:val="en-US" w:eastAsia="zh-CN" w:bidi="ar"/>
              </w:rPr>
              <w:t>其他结果</w:t>
            </w:r>
          </w:p>
        </w:tc>
        <w:tc>
          <w:tcPr>
            <w:tcW w:w="6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尚未审结</w:t>
            </w:r>
          </w:p>
        </w:tc>
        <w:tc>
          <w:tcPr>
            <w:tcW w:w="6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1"/>
                <w:szCs w:val="21"/>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0</w:t>
            </w:r>
          </w:p>
        </w:tc>
        <w:tc>
          <w:tcPr>
            <w:tcW w:w="6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0</w:t>
            </w:r>
          </w:p>
        </w:tc>
        <w:tc>
          <w:tcPr>
            <w:tcW w:w="6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00</w:t>
            </w:r>
          </w:p>
        </w:tc>
        <w:tc>
          <w:tcPr>
            <w:tcW w:w="6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0</w:t>
            </w:r>
          </w:p>
        </w:tc>
        <w:tc>
          <w:tcPr>
            <w:tcW w:w="6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0</w:t>
            </w:r>
          </w:p>
        </w:tc>
        <w:tc>
          <w:tcPr>
            <w:tcW w:w="54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0</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0</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0</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0</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1"/>
                <w:szCs w:val="21"/>
                <w:lang w:val="en-US" w:eastAsia="zh-CN" w:bidi="ar"/>
              </w:rPr>
              <w:t>0</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0</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0</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1"/>
                <w:szCs w:val="21"/>
                <w:lang w:val="en-US" w:eastAsia="zh-CN" w:bidi="ar"/>
              </w:rPr>
              <w:t>0</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0</w:t>
            </w:r>
          </w:p>
        </w:tc>
        <w:tc>
          <w:tcPr>
            <w:tcW w:w="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0</w:t>
            </w:r>
          </w:p>
        </w:tc>
      </w:tr>
    </w:tbl>
    <w:p>
      <w:pPr>
        <w:keepNext w:val="0"/>
        <w:keepLines w:val="0"/>
        <w:widowControl/>
        <w:suppressLineNumbers w:val="0"/>
        <w:jc w:val="left"/>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政府信息公开工作虽然取得了一定成效，但也清醒地认识到了我局在政府信息公开工作中存在的问题和不足，主要表现在：一是信息公开内容的深度和广度不够，公开的形式还不够丰富。二是信息公开的时效性有待进一步提高，群众了解信息渠道不够畅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接下来的工作中，我局将从以下几个方面着手，扎实推进政府信息公开工作：一是增强意识，完善程序。进一步转变思想观念，不断增强信息公开意识和服务意识，明确专人负责，强化工作责任。将信息公开落实到日常工作中，使政府信息公开工作与日常工作实现无缝衔接，严格按照法定程序公开政府信息，确保政府信息及时、准确、全面地公开。二是提高信息公开的服务性和便民性。立足于调查研究和分析，对群众密切关注的重要政府信息给予高度重视，切实保障社会公众的知情权，不断提升信息公开内容的深度与广度，进而提高权力运行的透明度和群众的监督力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2019年度，本机关无收取信息处理费情况。</w:t>
      </w:r>
    </w:p>
    <w:p>
      <w:pPr>
        <w:rPr>
          <w:rFonts w:hint="eastAsia"/>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B6C68CA-64FC-41C6-BF8C-C4EEBFC3314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45FD5CE1-2F07-4C27-9C0E-25C15B9A5201}"/>
  </w:font>
  <w:font w:name="仿宋_GB2312">
    <w:panose1 w:val="02010609030101010101"/>
    <w:charset w:val="86"/>
    <w:family w:val="auto"/>
    <w:pitch w:val="default"/>
    <w:sig w:usb0="00000001" w:usb1="080E0000" w:usb2="00000000" w:usb3="00000000" w:csb0="00040000" w:csb1="00000000"/>
    <w:embedRegular r:id="rId3" w:fontKey="{DD96F4FA-1CDF-47E6-9D90-215BCE0484EA}"/>
  </w:font>
  <w:font w:name="楷体_GB2312">
    <w:panose1 w:val="02010609030101010101"/>
    <w:charset w:val="86"/>
    <w:family w:val="auto"/>
    <w:pitch w:val="default"/>
    <w:sig w:usb0="00000001" w:usb1="080E0000" w:usb2="00000000" w:usb3="00000000" w:csb0="00040000" w:csb1="00000000"/>
    <w:embedRegular r:id="rId4" w:fontKey="{9E16753A-320E-437D-8B0B-44DFF192175D}"/>
  </w:font>
  <w:font w:name="微软雅黑">
    <w:panose1 w:val="020B0503020204020204"/>
    <w:charset w:val="86"/>
    <w:family w:val="auto"/>
    <w:pitch w:val="default"/>
    <w:sig w:usb0="80000287" w:usb1="2ACF3C50" w:usb2="00000016" w:usb3="00000000" w:csb0="0004001F" w:csb1="00000000"/>
    <w:embedRegular r:id="rId5" w:fontKey="{DC57C42C-9225-49CC-941E-69C909485E5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ZTRiOGQ2ZTQ4YzIyMDA3YzA2OWRhMTgxOWNiOTUifQ=="/>
  </w:docVars>
  <w:rsids>
    <w:rsidRoot w:val="63363312"/>
    <w:rsid w:val="5A987725"/>
    <w:rsid w:val="63363312"/>
    <w:rsid w:val="73D97F55"/>
    <w:rsid w:val="79F7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widowControl w:val="0"/>
      <w:ind w:firstLine="420" w:firstLineChars="200"/>
      <w:jc w:val="both"/>
    </w:pPr>
    <w:rPr>
      <w:rFonts w:ascii="Times New Roman" w:hAnsi="Times New Roman" w:eastAsia="仿宋" w:cs="Times New Roman"/>
      <w:kern w:val="2"/>
      <w:sz w:val="32"/>
      <w:szCs w:val="20"/>
      <w:lang w:val="en-US" w:eastAsia="zh-CN" w:bidi="ar-SA"/>
    </w:rPr>
  </w:style>
  <w:style w:type="paragraph" w:styleId="3">
    <w:name w:val="Body Text"/>
    <w:basedOn w:val="1"/>
    <w:next w:val="2"/>
    <w:qFormat/>
    <w:uiPriority w:val="99"/>
    <w:pPr>
      <w:spacing w:after="12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3116</Words>
  <Characters>3237</Characters>
  <Lines>0</Lines>
  <Paragraphs>0</Paragraphs>
  <TotalTime>20</TotalTime>
  <ScaleCrop>false</ScaleCrop>
  <LinksUpToDate>false</LinksUpToDate>
  <CharactersWithSpaces>3239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2023-06-16T02:16:00Z</dcterms:created>
  <dc:creator>聿颖</dc:creator>
  <cp:lastModifiedBy>聿颖</cp:lastModifiedBy>
  <dcterms:modified xsi:type="dcterms:W3CDTF">2023-06-16T02:45:33Z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48D5C3C03CFF444E8315F0F95F388E17_11</vt:lpwstr>
  </property>
</Properties>
</file>